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29" w:rsidRDefault="00681429">
      <w:pPr>
        <w:widowControl w:val="0"/>
        <w:autoSpaceDE w:val="0"/>
        <w:autoSpaceDN w:val="0"/>
        <w:adjustRightInd w:val="0"/>
      </w:pPr>
    </w:p>
    <w:p w:rsidR="00681429" w:rsidRDefault="00681429">
      <w:pPr>
        <w:pStyle w:val="formattext"/>
      </w:pPr>
      <w:r>
        <w:t>     </w:t>
      </w:r>
    </w:p>
    <w:p w:rsidR="00681429" w:rsidRDefault="00681429">
      <w:pPr>
        <w:pStyle w:val="formattext"/>
        <w:jc w:val="right"/>
      </w:pPr>
      <w:r>
        <w:t>     ОСТ 26-2042-96</w:t>
      </w:r>
    </w:p>
    <w:p w:rsidR="00681429" w:rsidRDefault="00681429">
      <w:pPr>
        <w:pStyle w:val="formattext"/>
        <w:jc w:val="right"/>
      </w:pPr>
    </w:p>
    <w:p w:rsidR="00681429" w:rsidRDefault="00681429">
      <w:pPr>
        <w:pStyle w:val="formattext"/>
        <w:jc w:val="right"/>
      </w:pPr>
    </w:p>
    <w:p w:rsidR="00681429" w:rsidRDefault="00681429">
      <w:pPr>
        <w:pStyle w:val="headertext"/>
        <w:jc w:val="center"/>
        <w:rPr>
          <w:color w:val="000080"/>
        </w:rPr>
      </w:pPr>
      <w:r>
        <w:rPr>
          <w:color w:val="000080"/>
        </w:rPr>
        <w:t>СТАНДАРТ ОТРАСЛИ</w:t>
      </w:r>
    </w:p>
    <w:p w:rsidR="00681429" w:rsidRDefault="00681429">
      <w:pPr>
        <w:pStyle w:val="headertext"/>
        <w:jc w:val="center"/>
        <w:rPr>
          <w:color w:val="000080"/>
        </w:rPr>
      </w:pPr>
    </w:p>
    <w:p w:rsidR="00681429" w:rsidRDefault="00681429">
      <w:pPr>
        <w:pStyle w:val="headertext"/>
        <w:jc w:val="center"/>
        <w:rPr>
          <w:color w:val="000080"/>
        </w:rPr>
      </w:pPr>
    </w:p>
    <w:p w:rsidR="00681429" w:rsidRDefault="00681429">
      <w:pPr>
        <w:pStyle w:val="headertext"/>
        <w:jc w:val="center"/>
        <w:rPr>
          <w:color w:val="000080"/>
        </w:rPr>
      </w:pPr>
      <w:r>
        <w:rPr>
          <w:color w:val="000080"/>
        </w:rPr>
        <w:t>ШАЙБЫ ДЛЯ ФЛАНЦЕВЫХ СОЕДИНЕНИЙ</w:t>
      </w:r>
    </w:p>
    <w:p w:rsidR="00681429" w:rsidRDefault="00681429">
      <w:pPr>
        <w:pStyle w:val="headertext"/>
        <w:jc w:val="center"/>
        <w:rPr>
          <w:color w:val="000080"/>
        </w:rPr>
      </w:pPr>
    </w:p>
    <w:p w:rsidR="00681429" w:rsidRDefault="00681429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Конструкция и размеры </w:t>
      </w:r>
    </w:p>
    <w:p w:rsidR="00681429" w:rsidRDefault="00681429">
      <w:pPr>
        <w:pStyle w:val="formattext"/>
        <w:jc w:val="right"/>
      </w:pPr>
      <w:r>
        <w:t>     </w:t>
      </w:r>
    </w:p>
    <w:p w:rsidR="00681429" w:rsidRDefault="00681429">
      <w:pPr>
        <w:pStyle w:val="formattext"/>
        <w:jc w:val="right"/>
      </w:pPr>
      <w:r>
        <w:t>     </w:t>
      </w:r>
    </w:p>
    <w:p w:rsidR="00681429" w:rsidRDefault="00681429">
      <w:pPr>
        <w:pStyle w:val="formattext"/>
        <w:jc w:val="right"/>
      </w:pPr>
      <w:r>
        <w:t xml:space="preserve">Дата введения 1997-04-01 </w:t>
      </w:r>
    </w:p>
    <w:p w:rsidR="00681429" w:rsidRDefault="00681429">
      <w:pPr>
        <w:pStyle w:val="headertext"/>
        <w:jc w:val="center"/>
        <w:rPr>
          <w:color w:val="000080"/>
        </w:rPr>
      </w:pPr>
      <w:r>
        <w:rPr>
          <w:color w:val="000080"/>
        </w:rPr>
        <w:t>     </w:t>
      </w:r>
    </w:p>
    <w:p w:rsidR="00681429" w:rsidRDefault="00681429">
      <w:pPr>
        <w:pStyle w:val="headertext"/>
        <w:jc w:val="center"/>
        <w:rPr>
          <w:color w:val="000080"/>
        </w:rPr>
      </w:pPr>
      <w:r>
        <w:rPr>
          <w:color w:val="000080"/>
        </w:rPr>
        <w:t>     </w:t>
      </w:r>
    </w:p>
    <w:p w:rsidR="00681429" w:rsidRDefault="00681429">
      <w:pPr>
        <w:pStyle w:val="headertext"/>
        <w:jc w:val="center"/>
        <w:rPr>
          <w:color w:val="000080"/>
        </w:rPr>
      </w:pPr>
      <w:r>
        <w:rPr>
          <w:color w:val="000080"/>
        </w:rPr>
        <w:t xml:space="preserve">Предисловие 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1 РАЗРАБОТАН Акционерным обществом "Центральное конструкторское бюро нефтеаппаратуры" (АО "ЦКБН")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2 ВЗАМЕН ОСТ 26-2042-77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3 СРОК ПЕРВОЙ ПРОВЕРКИ - 2000 г.,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периодичность проверки - 5 лет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headertext"/>
        <w:rPr>
          <w:color w:val="000080"/>
        </w:rPr>
      </w:pPr>
      <w:r>
        <w:rPr>
          <w:color w:val="000080"/>
        </w:rPr>
        <w:t xml:space="preserve">     1 Область применения 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 xml:space="preserve">     Настоящий стандарт распространяется на шайбы для фланцевых соединений трубопроводов и соединительных частей, арматуры, приборов, сосудов и аппаратов, применяемых в химической, нефтеперерабатывающей, нефтехимической, газовой, нефтяной и других смежных отраслях промышленности на условное давление </w:t>
      </w:r>
      <w:r w:rsidR="00F07AD0">
        <w:rPr>
          <w:noProof/>
        </w:rPr>
        <w:drawing>
          <wp:inline distT="0" distB="0" distL="0" distR="0">
            <wp:extent cx="19050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до 16 МПа (160 кгc/см</w:t>
      </w:r>
      <w:r w:rsidR="00F07AD0">
        <w:rPr>
          <w:noProof/>
        </w:rPr>
        <w:drawing>
          <wp:inline distT="0" distB="0" distL="0" distR="0">
            <wp:extent cx="1047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и температуру от минус 70 до 600 °С.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Стандарт разработан в развитие ГОСТ 9065.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headertext"/>
        <w:rPr>
          <w:color w:val="000080"/>
        </w:rPr>
      </w:pPr>
      <w:r>
        <w:rPr>
          <w:color w:val="000080"/>
        </w:rPr>
        <w:t xml:space="preserve">     2 Нормативные ссылки 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В настоящем стандарте использованы ссылки на следующие стандарты: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ГОСТ 9065-75 Шайбы для фланцевых соединений с температурой среды от 0 до 650 °С. Типы и основные размеры.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ОСТ 26-2043-91 Болты, шпильки, гайки и шайбы для фланцевых соединений. Технические требования.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headertext"/>
        <w:rPr>
          <w:color w:val="000080"/>
        </w:rPr>
      </w:pPr>
      <w:r>
        <w:rPr>
          <w:color w:val="000080"/>
        </w:rPr>
        <w:t xml:space="preserve">     3 Конструкция и размеры 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3.1 Конструкция и размеры шайб должны соответствовать указанным на рисунке 1 и в таблице 1.</w:t>
      </w:r>
    </w:p>
    <w:p w:rsidR="00681429" w:rsidRDefault="00681429">
      <w:pPr>
        <w:pStyle w:val="formattext"/>
        <w:jc w:val="center"/>
      </w:pPr>
    </w:p>
    <w:p w:rsidR="00681429" w:rsidRDefault="00681429">
      <w:pPr>
        <w:pStyle w:val="formattext"/>
        <w:jc w:val="center"/>
      </w:pPr>
    </w:p>
    <w:p w:rsidR="00681429" w:rsidRPr="00F07AD0" w:rsidRDefault="00F07AD0">
      <w:pPr>
        <w:pStyle w:val="formattext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105025" cy="2486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29" w:rsidRPr="00F07AD0" w:rsidRDefault="00F07AD0">
      <w:pPr>
        <w:pStyle w:val="formattext"/>
        <w:jc w:val="center"/>
        <w:rPr>
          <w:lang w:val="en-US"/>
        </w:rPr>
      </w:pPr>
      <w:r>
        <w:t>Рисунок 1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Pr="00F07AD0" w:rsidRDefault="00F07AD0">
      <w:pPr>
        <w:pStyle w:val="formattext"/>
        <w:jc w:val="both"/>
        <w:rPr>
          <w:lang w:val="en-US"/>
        </w:rPr>
      </w:pPr>
      <w:r>
        <w:t>     Таблица 1</w:t>
      </w:r>
    </w:p>
    <w:p w:rsidR="00681429" w:rsidRPr="00F07AD0" w:rsidRDefault="00F07AD0">
      <w:pPr>
        <w:pStyle w:val="formattext"/>
        <w:jc w:val="right"/>
        <w:rPr>
          <w:lang w:val="en-US"/>
        </w:rPr>
      </w:pPr>
      <w:r>
        <w:t>В миллиметрах</w:t>
      </w:r>
    </w:p>
    <w:p w:rsidR="00681429" w:rsidRDefault="00681429">
      <w:pPr>
        <w:pStyle w:val="formattext"/>
        <w:jc w:val="both"/>
      </w:pPr>
      <w:r>
        <w:t>     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681429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both"/>
            </w:pPr>
            <w:r>
              <w:t xml:space="preserve">Номинальный диаметр резьбы шпильки (болта) </w:t>
            </w:r>
            <w:r w:rsidR="00F07AD0">
              <w:rPr>
                <w:noProof/>
              </w:rPr>
              <w:drawing>
                <wp:inline distT="0" distB="0" distL="0" distR="0">
                  <wp:extent cx="142875" cy="1809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429" w:rsidRDefault="00681429">
            <w:pPr>
              <w:pStyle w:val="formattext"/>
              <w:jc w:val="both"/>
            </w:pPr>
          </w:p>
          <w:p w:rsidR="00681429" w:rsidRDefault="00681429">
            <w:pPr>
              <w:pStyle w:val="formattext"/>
              <w:jc w:val="both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12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24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27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30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36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42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48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52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56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60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64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68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76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80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both"/>
            </w:pPr>
            <w:r>
              <w:t xml:space="preserve">Внутренний диаметр </w:t>
            </w:r>
            <w:r w:rsidR="00F07AD0">
              <w:rPr>
                <w:noProof/>
              </w:rPr>
              <w:drawing>
                <wp:inline distT="0" distB="0" distL="0" distR="0">
                  <wp:extent cx="142875" cy="1809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429" w:rsidRDefault="00681429">
            <w:pPr>
              <w:pStyle w:val="formattext"/>
              <w:jc w:val="both"/>
            </w:pPr>
          </w:p>
          <w:p w:rsidR="00681429" w:rsidRDefault="00681429">
            <w:pPr>
              <w:pStyle w:val="formattext"/>
              <w:jc w:val="both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номин.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11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13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17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21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25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28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31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37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43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50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54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58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62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66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70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78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82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both"/>
            </w:pPr>
            <w:r>
              <w:t xml:space="preserve">Наружный диаметр </w:t>
            </w:r>
            <w:r w:rsidR="00F07AD0">
              <w:rPr>
                <w:noProof/>
              </w:rPr>
              <w:drawing>
                <wp:inline distT="0" distB="0" distL="0" distR="0">
                  <wp:extent cx="161925" cy="1619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429" w:rsidRDefault="00681429">
            <w:pPr>
              <w:pStyle w:val="formattext"/>
              <w:jc w:val="both"/>
            </w:pPr>
          </w:p>
          <w:p w:rsidR="00681429" w:rsidRDefault="00681429">
            <w:pPr>
              <w:pStyle w:val="formattext"/>
              <w:jc w:val="both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номин.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18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24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30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37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44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50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56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66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73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90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95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100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110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115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120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132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138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both"/>
            </w:pPr>
            <w:r>
              <w:t xml:space="preserve">Толщина шайбы </w:t>
            </w:r>
            <w:r w:rsidR="00F07AD0">
              <w:rPr>
                <w:noProof/>
              </w:rPr>
              <w:drawing>
                <wp:inline distT="0" distB="0" distL="0" distR="0">
                  <wp:extent cx="142875" cy="180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429" w:rsidRDefault="00681429">
            <w:pPr>
              <w:pStyle w:val="formattext"/>
              <w:jc w:val="both"/>
            </w:pPr>
          </w:p>
          <w:p w:rsidR="00681429" w:rsidRDefault="00681429">
            <w:pPr>
              <w:pStyle w:val="formattext"/>
              <w:jc w:val="both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номин.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2,0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3,0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4,0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5,0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6,0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10,0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12,0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</w:pPr>
            <w:r>
              <w:t xml:space="preserve">Фаска </w:t>
            </w:r>
            <w:r w:rsidR="00F07AD0">
              <w:rPr>
                <w:noProof/>
              </w:rPr>
              <w:drawing>
                <wp:inline distT="0" distB="0" distL="0" distR="0">
                  <wp:extent cx="152400" cy="1809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429" w:rsidRDefault="00681429">
            <w:pPr>
              <w:pStyle w:val="formattext"/>
            </w:pPr>
          </w:p>
          <w:p w:rsidR="00681429" w:rsidRDefault="00681429">
            <w:pPr>
              <w:pStyle w:val="formattext"/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0,5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1,0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2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1,6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2,0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3,0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both"/>
            </w:pPr>
            <w:r>
              <w:t>Допускаемое смещение оси отверстия</w:t>
            </w:r>
          </w:p>
          <w:p w:rsidR="00681429" w:rsidRDefault="00681429">
            <w:pPr>
              <w:pStyle w:val="formattext"/>
              <w:jc w:val="both"/>
            </w:pPr>
          </w:p>
          <w:p w:rsidR="00681429" w:rsidRDefault="00681429">
            <w:pPr>
              <w:pStyle w:val="formattext"/>
              <w:jc w:val="both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lastRenderedPageBreak/>
              <w:t xml:space="preserve">0,5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0,6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0,7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2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0,8 </w:t>
            </w: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0,9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110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both"/>
            </w:pPr>
            <w:r>
              <w:lastRenderedPageBreak/>
              <w:t>     Примечания</w:t>
            </w:r>
          </w:p>
          <w:p w:rsidR="00681429" w:rsidRDefault="00681429">
            <w:pPr>
              <w:pStyle w:val="formattext"/>
              <w:jc w:val="both"/>
            </w:pPr>
          </w:p>
          <w:p w:rsidR="00681429" w:rsidRDefault="00681429">
            <w:pPr>
              <w:pStyle w:val="formattext"/>
              <w:jc w:val="both"/>
            </w:pPr>
            <w:r>
              <w:t>     1 При изготовлении шайб методом штамповки предельные отклонения по внутреннему диаметру - по Н14, толщине шайб - по стандартам на исходный материал.</w:t>
            </w:r>
          </w:p>
          <w:p w:rsidR="00681429" w:rsidRDefault="00681429">
            <w:pPr>
              <w:pStyle w:val="formattext"/>
              <w:jc w:val="both"/>
            </w:pPr>
          </w:p>
          <w:p w:rsidR="00681429" w:rsidRDefault="00681429">
            <w:pPr>
              <w:pStyle w:val="formattext"/>
              <w:jc w:val="both"/>
            </w:pPr>
            <w:r>
              <w:t>     2 Шайбы допускается изготавливать без фаски или с скруглением кромок, радиусом, равным размеру С.</w:t>
            </w:r>
          </w:p>
          <w:p w:rsidR="00681429" w:rsidRDefault="00681429">
            <w:pPr>
              <w:pStyle w:val="formattext"/>
              <w:jc w:val="both"/>
            </w:pPr>
          </w:p>
          <w:p w:rsidR="00681429" w:rsidRDefault="00681429">
            <w:pPr>
              <w:pStyle w:val="formattext"/>
              <w:jc w:val="both"/>
            </w:pPr>
          </w:p>
        </w:tc>
      </w:tr>
    </w:tbl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Примеры условных обозначений: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Шайба для шпильки с диаметром резьбы М30 из стали марки 20, без покрытия: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center"/>
      </w:pPr>
      <w:r>
        <w:t>Шайба 30.20 ОСТ 26-2042-96.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То же с покрытием 02 толщиной 9 мкм: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center"/>
      </w:pPr>
      <w:r>
        <w:t>Шайба 30.20.029 ОСТ 26-2042-96.</w:t>
      </w:r>
    </w:p>
    <w:p w:rsidR="00681429" w:rsidRDefault="00681429">
      <w:pPr>
        <w:pStyle w:val="formattext"/>
        <w:jc w:val="both"/>
      </w:pPr>
      <w:r>
        <w:t>          </w:t>
      </w:r>
    </w:p>
    <w:p w:rsidR="00681429" w:rsidRDefault="00681429">
      <w:pPr>
        <w:pStyle w:val="formattext"/>
        <w:jc w:val="both"/>
      </w:pPr>
      <w:r>
        <w:t>     4 Технические требования - по ОСТ 26-2043.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5 Масса шайб приведена в справочном приложении А.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center"/>
      </w:pPr>
      <w:r>
        <w:t>Приложение А</w:t>
      </w:r>
    </w:p>
    <w:p w:rsidR="00681429" w:rsidRDefault="00681429">
      <w:pPr>
        <w:pStyle w:val="formattext"/>
        <w:jc w:val="center"/>
      </w:pPr>
      <w:r>
        <w:t>(справочное)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 xml:space="preserve">     Таблица A1 </w:t>
      </w:r>
    </w:p>
    <w:p w:rsidR="00681429" w:rsidRDefault="00681429">
      <w:pPr>
        <w:pStyle w:val="formattext"/>
        <w:jc w:val="right"/>
      </w:pPr>
    </w:p>
    <w:p w:rsidR="00681429" w:rsidRDefault="00681429">
      <w:pPr>
        <w:pStyle w:val="formattext"/>
        <w:jc w:val="right"/>
      </w:pPr>
      <w:r>
        <w:t xml:space="preserve">Размеры в миллиметрах </w:t>
      </w:r>
    </w:p>
    <w:p w:rsidR="00681429" w:rsidRDefault="00681429">
      <w:pPr>
        <w:pStyle w:val="formattext"/>
        <w:jc w:val="both"/>
      </w:pPr>
      <w:r>
        <w:t>     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553"/>
        <w:gridCol w:w="5553"/>
      </w:tblGrid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81429" w:rsidRDefault="006814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Номинальный диаметр резьбы шпильки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Теоретическая масса шайб, кг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10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0,004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12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0,006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16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0,009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20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0,023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24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0,032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27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0,053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30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0,067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36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0,110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42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0,156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48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lastRenderedPageBreak/>
              <w:t xml:space="preserve">0,345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lastRenderedPageBreak/>
              <w:t>52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0,376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56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0,409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60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0,509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64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0,546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68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0,585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76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0,838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>80</w:t>
            </w:r>
          </w:p>
          <w:p w:rsidR="00681429" w:rsidRDefault="00681429">
            <w:pPr>
              <w:pStyle w:val="formattext"/>
              <w:jc w:val="center"/>
            </w:pPr>
          </w:p>
          <w:p w:rsidR="00681429" w:rsidRDefault="00681429">
            <w:pPr>
              <w:pStyle w:val="formattext"/>
              <w:jc w:val="center"/>
            </w:pP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  <w:jc w:val="center"/>
            </w:pPr>
            <w:r>
              <w:t xml:space="preserve">0,910 </w:t>
            </w:r>
          </w:p>
          <w:p w:rsidR="00681429" w:rsidRDefault="00681429">
            <w:pPr>
              <w:pStyle w:val="formattext"/>
              <w:jc w:val="center"/>
            </w:pPr>
          </w:p>
        </w:tc>
      </w:tr>
      <w:tr w:rsidR="00681429">
        <w:tblPrEx>
          <w:tblCellMar>
            <w:top w:w="0" w:type="dxa"/>
            <w:bottom w:w="0" w:type="dxa"/>
          </w:tblCellMar>
        </w:tblPrEx>
        <w:tc>
          <w:tcPr>
            <w:tcW w:w="1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29" w:rsidRDefault="00681429">
            <w:pPr>
              <w:pStyle w:val="formattext"/>
            </w:pPr>
            <w:r>
              <w:t>     Примечание - Масса подсчитана из условия плотности материала 7,85 г/см</w:t>
            </w:r>
            <w:r w:rsidR="00F07AD0"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681429" w:rsidRDefault="00681429">
            <w:pPr>
              <w:pStyle w:val="formattext"/>
            </w:pPr>
          </w:p>
          <w:p w:rsidR="00681429" w:rsidRDefault="00681429">
            <w:pPr>
              <w:pStyle w:val="formattext"/>
            </w:pPr>
          </w:p>
        </w:tc>
      </w:tr>
    </w:tbl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     </w:t>
      </w:r>
    </w:p>
    <w:p w:rsidR="00681429" w:rsidRDefault="00681429">
      <w:pPr>
        <w:pStyle w:val="formattext"/>
        <w:jc w:val="both"/>
      </w:pPr>
      <w:r>
        <w:t>Электронный текст документа</w:t>
      </w:r>
    </w:p>
    <w:p w:rsidR="00681429" w:rsidRDefault="00681429">
      <w:pPr>
        <w:pStyle w:val="formattext"/>
        <w:jc w:val="both"/>
      </w:pPr>
      <w:r>
        <w:t>подготовлен ЗАО "Кодекс" и сверен по:</w:t>
      </w:r>
    </w:p>
    <w:p w:rsidR="00681429" w:rsidRDefault="00681429">
      <w:pPr>
        <w:pStyle w:val="formattext"/>
        <w:jc w:val="both"/>
      </w:pPr>
      <w:r>
        <w:t>Изделия крепежные для фланцевых соединений.</w:t>
      </w:r>
    </w:p>
    <w:p w:rsidR="00681429" w:rsidRDefault="00681429">
      <w:pPr>
        <w:pStyle w:val="formattext"/>
        <w:jc w:val="both"/>
      </w:pPr>
      <w:r>
        <w:t>Конструкция и размеры: Сб. ОСТов. ОСТ 26-2037-96-ОСТ 26-2042-96. -</w:t>
      </w:r>
    </w:p>
    <w:p w:rsidR="00681429" w:rsidRDefault="00681429">
      <w:pPr>
        <w:pStyle w:val="formattext"/>
        <w:jc w:val="both"/>
      </w:pPr>
      <w:r>
        <w:t xml:space="preserve">Подольск: АО ЦКБН, 1996 </w:t>
      </w:r>
    </w:p>
    <w:sectPr w:rsidR="00681429">
      <w:pgSz w:w="12240" w:h="15840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B62E7"/>
    <w:rsid w:val="00107C77"/>
    <w:rsid w:val="00681429"/>
    <w:rsid w:val="00990AEB"/>
    <w:rsid w:val="00C230B9"/>
    <w:rsid w:val="00CB62E7"/>
    <w:rsid w:val="00F07AD0"/>
    <w:rsid w:val="00F4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">
    <w:name w:val="formattext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Кодекс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Санков Александр Сергеевич</cp:lastModifiedBy>
  <cp:revision>2</cp:revision>
  <dcterms:created xsi:type="dcterms:W3CDTF">2016-03-28T12:39:00Z</dcterms:created>
  <dcterms:modified xsi:type="dcterms:W3CDTF">2016-03-28T12:39:00Z</dcterms:modified>
</cp:coreProperties>
</file>